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III-RUBROS ADMISIBLES: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3000"/>
        <w:gridCol w:w="3870"/>
        <w:tblGridChange w:id="0">
          <w:tblGrid>
            <w:gridCol w:w="3000"/>
            <w:gridCol w:w="3000"/>
            <w:gridCol w:w="38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Gastos corrientes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Bienes de consumo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Otros bienes de consumo: Útiles de escritorio, oficina y enseñanza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Otros bienes de consumo: materiales de limpieza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otros bienes de consumo: repuestos y accesorios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otros bienes de consumo: utensilios de cocina y comedor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Otros bienes de consumo: útiles y materiales eléctricos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Productos de papel, cartón e impresos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Textiles y vestuarios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Servicios no personales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Alquileres y derechos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Mantenimiento, reparación y limpieza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servicios técnicos y profesionales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publicidad y propaganda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pasajes y viáticos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Porcentaje máximo por rubros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Servicios no personales:</w:t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-Servicios técnicos y profesionales: Honorarios de disertantes un tope de un 70% del total presupuestado). </w:t>
      </w:r>
      <w:r w:rsidDel="00000000" w:rsidR="00000000" w:rsidRPr="00000000">
        <w:rPr>
          <w:b w:val="1"/>
          <w:rtl w:val="0"/>
        </w:rPr>
        <w:t xml:space="preserve">Aclaración: no se contemplará el pago de honorarios para docentes, no docentes y estudiantes de UNRaf por el desarrollo del proyecto</w:t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-Viáticos: traslados y alojamientos (con un tope del 20% del total del presupuesto)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/>
      <w:drawing>
        <wp:inline distB="114300" distT="114300" distL="114300" distR="114300">
          <wp:extent cx="5731200" cy="876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LpxdG+Dq/sktEXQwV5UvrDNKXg==">CgMxLjA4AHIhMVNvVEpYTkhNdFc4MGI0WWxZR3J1cUN0Z3QyMG9DbW9q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